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67" w:rsidRPr="00C00967" w:rsidRDefault="00B50FC3" w:rsidP="00C00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C00967" w:rsidRPr="00C00967" w:rsidRDefault="00B50FC3" w:rsidP="00C0096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00967" w:rsidRPr="00C00967" w:rsidRDefault="00B50FC3" w:rsidP="00C00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C00967" w:rsidRPr="00C00967" w:rsidRDefault="00B50FC3" w:rsidP="00C00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C00967" w:rsidRPr="00C00967" w:rsidRDefault="00C00967" w:rsidP="00C0096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Pr="00C0096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Pr="00C009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142</w:t>
      </w:r>
      <w:r w:rsidRPr="00C00967"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C00967" w:rsidRPr="00C00967" w:rsidRDefault="00C00967" w:rsidP="00C00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C0096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proofErr w:type="gramStart"/>
      <w:r w:rsidR="00B50FC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oktobar</w:t>
      </w:r>
      <w:proofErr w:type="gramEnd"/>
      <w:r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C00967" w:rsidRPr="00C00967" w:rsidRDefault="00B50FC3" w:rsidP="00C0096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191FA6" w:rsidRPr="00300758" w:rsidRDefault="00191FA6" w:rsidP="002B7336">
      <w:pPr>
        <w:spacing w:after="60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B3C34" w:rsidRPr="00300758" w:rsidRDefault="00B50FC3" w:rsidP="00DB3C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ZAPISNIK</w:t>
      </w:r>
    </w:p>
    <w:p w:rsidR="00DB3C34" w:rsidRPr="00300758" w:rsidRDefault="00E85B62" w:rsidP="00DB3C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C0096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en-GB"/>
        </w:rPr>
        <w:t>SEDNICE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en-GB"/>
        </w:rPr>
        <w:t>ODBORA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en-GB"/>
        </w:rPr>
        <w:t>ZA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PRIVREDU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REGIONALNI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RAZVOJ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TRGOVINU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</w:p>
    <w:p w:rsidR="00DB3C34" w:rsidRPr="00300758" w:rsidRDefault="00B50FC3" w:rsidP="00DB3C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TURIZAM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ENERGETIKU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ODRŽANE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C00967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OKTOBRA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DB3C34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GODINE</w:t>
      </w:r>
    </w:p>
    <w:p w:rsidR="00DB3C34" w:rsidRDefault="00DB3C34" w:rsidP="00DB3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</w:p>
    <w:p w:rsidR="00DB3C34" w:rsidRPr="00300758" w:rsidRDefault="00DB3C34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Calibri" w:hAnsi="Times New Roman" w:cs="Times New Roman"/>
          <w:sz w:val="24"/>
          <w:szCs w:val="24"/>
          <w:lang w:val="en-GB"/>
        </w:rPr>
        <w:t>Sednica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en-GB"/>
        </w:rPr>
        <w:t>je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en-GB"/>
        </w:rPr>
        <w:t>počela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755941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C00967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proofErr w:type="gramStart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C00967">
        <w:rPr>
          <w:rFonts w:ascii="Times New Roman" w:eastAsia="Calibri" w:hAnsi="Times New Roman" w:cs="Times New Roman"/>
          <w:sz w:val="24"/>
          <w:szCs w:val="24"/>
          <w:lang w:val="sr-Cyrl-RS"/>
        </w:rPr>
        <w:t>15</w:t>
      </w:r>
      <w:proofErr w:type="gramEnd"/>
      <w:r w:rsidRPr="003007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en-GB"/>
        </w:rPr>
        <w:t>časova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:rsidR="00DB3C34" w:rsidRPr="00300758" w:rsidRDefault="00DB3C34" w:rsidP="00C00967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Sednicom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do</w:t>
      </w:r>
      <w:r w:rsidR="00C67A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predsedavao</w:t>
      </w:r>
      <w:r w:rsidR="000E4F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 w:rsidR="000E4F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Dušan</w:t>
      </w:r>
      <w:r w:rsidR="00065D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Bajatović</w:t>
      </w:r>
      <w:r w:rsidR="00C0096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predsednik</w:t>
      </w:r>
      <w:r w:rsidR="00C0096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C00967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Pored</w:t>
      </w:r>
      <w:r w:rsidR="00C0096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predsednika</w:t>
      </w:r>
      <w:r w:rsidR="00C67A9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 w:rsidR="00C67A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Dušana</w:t>
      </w:r>
      <w:r w:rsidR="00C67A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Bajatovića</w:t>
      </w:r>
      <w:r w:rsidR="00C0096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="005F092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Ivana</w:t>
      </w:r>
      <w:r w:rsidR="005F092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Stamatović</w:t>
      </w:r>
      <w:r w:rsidR="005F092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Miljana</w:t>
      </w:r>
      <w:r w:rsidR="005F092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Milojević</w:t>
      </w:r>
      <w:r w:rsidR="005F092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 w:rsidR="00864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Beloica</w:t>
      </w:r>
      <w:r w:rsidR="00864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Martać</w:t>
      </w:r>
      <w:r w:rsidR="00864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Stanislava</w:t>
      </w:r>
      <w:r w:rsidR="00864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Janošević</w:t>
      </w:r>
      <w:r w:rsidR="00864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Tijana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Davidovac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Miroslav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Kondić</w:t>
      </w:r>
      <w:r w:rsidR="007B75E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Stanojević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Dalibor</w:t>
      </w:r>
      <w:r w:rsidR="007F71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Jekić</w:t>
      </w:r>
      <w:r w:rsidR="007F715C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Željko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Veselinović</w:t>
      </w:r>
      <w:r w:rsidR="007F71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7F71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prof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Cvejić</w:t>
      </w:r>
      <w:r w:rsidR="009D39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DB3C34" w:rsidRPr="00300758" w:rsidRDefault="00C67A96" w:rsidP="00DB3C3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Nikole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Radosavljevića</w:t>
      </w:r>
      <w:r w:rsidR="009D39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D39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Savović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Petković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zamenica</w:t>
      </w:r>
      <w:r w:rsidR="00065D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Gorana</w:t>
      </w:r>
      <w:r w:rsidR="00065D62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Nikolića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B3C34" w:rsidRPr="00300758" w:rsidRDefault="00DB3C34" w:rsidP="00DB3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nisu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065D62" w:rsidRPr="00065D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Vojislav</w:t>
      </w:r>
      <w:r w:rsidR="00065D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Vujić</w:t>
      </w:r>
      <w:r w:rsidR="00065D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Žarko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Ristić</w:t>
      </w:r>
      <w:r w:rsidR="006E0348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doc</w:t>
      </w:r>
      <w:r w:rsidR="009D395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 w:rsidR="009D395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Biljana</w:t>
      </w:r>
      <w:r w:rsidR="009D395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Đorđević</w:t>
      </w:r>
      <w:r w:rsidR="009D395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D39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 w:rsidR="009D39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Sandić</w:t>
      </w:r>
      <w:r w:rsidR="009D39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niti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BD72E3" w:rsidRDefault="00DB3C34" w:rsidP="000E4FD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67A9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DA38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ispred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DA38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Zelić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Milja</w:t>
      </w:r>
      <w:r w:rsid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Vuković</w:t>
      </w:r>
      <w:r w:rsid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ispred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unutrašnje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C00967" w:rsidRPr="00C009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Mojsejev</w:t>
      </w:r>
      <w:r w:rsidR="00E173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E1730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E173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E173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E1730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B3C34" w:rsidRDefault="00DB3C34" w:rsidP="00306EF5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D08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3062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3062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062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3062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3062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="003062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E1730F">
        <w:rPr>
          <w:rFonts w:ascii="Times New Roman" w:eastAsia="Times New Roman" w:hAnsi="Times New Roman" w:cs="Times New Roman"/>
          <w:sz w:val="24"/>
          <w:szCs w:val="24"/>
          <w:lang w:val="sr-Cyrl-RS"/>
        </w:rPr>
        <w:t>0,</w:t>
      </w:r>
      <w:r w:rsidR="00D634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glasalo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306EF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dvoje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306EF5" w:rsidRPr="00300758" w:rsidRDefault="00306EF5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B3C34" w:rsidRPr="00300758" w:rsidRDefault="00B50FC3" w:rsidP="00DB3C34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191793" w:rsidRPr="00191793" w:rsidRDefault="00B50FC3" w:rsidP="00C9390C">
      <w:pPr>
        <w:numPr>
          <w:ilvl w:val="0"/>
          <w:numId w:val="3"/>
        </w:num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potvrđivanju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Sporazuma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strane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Evropske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strane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učešću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jedinstvenog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tržišta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Evropske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unije</w:t>
      </w:r>
    </w:p>
    <w:p w:rsidR="00E1730F" w:rsidRDefault="00B50FC3" w:rsidP="00C9390C">
      <w:pPr>
        <w:numPr>
          <w:ilvl w:val="0"/>
          <w:numId w:val="3"/>
        </w:num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Burundija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ekonomskoj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</w:p>
    <w:p w:rsidR="00191793" w:rsidRDefault="00B50FC3" w:rsidP="00BC4E8D">
      <w:pPr>
        <w:numPr>
          <w:ilvl w:val="0"/>
          <w:numId w:val="3"/>
        </w:num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potvrđivanju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Sporazuma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Maldiva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trgovinskoj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investicionoj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ekonomskoj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saradnji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E1730F" w:rsidRPr="00191793" w:rsidRDefault="00B50FC3" w:rsidP="00BC4E8D">
      <w:pPr>
        <w:numPr>
          <w:ilvl w:val="0"/>
          <w:numId w:val="3"/>
        </w:num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potvrđivanju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Sporazuma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Ekvatorijalne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Gvineje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ekonomskoj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trgovinskoj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saradnji</w:t>
      </w:r>
      <w:r w:rsidR="00E1730F" w:rsidRP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AE4FB4" w:rsidRPr="00510470" w:rsidRDefault="00B50FC3" w:rsidP="00AE4FB4">
      <w:pPr>
        <w:pStyle w:val="ListParagraph"/>
        <w:numPr>
          <w:ilvl w:val="0"/>
          <w:numId w:val="3"/>
        </w:numPr>
        <w:tabs>
          <w:tab w:val="left" w:pos="2364"/>
        </w:tabs>
        <w:spacing w:after="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Predloga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zakona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Odluke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1/2024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Zajedničkog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komiteta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ustanovljenog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Sporazumom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slobodnoj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trgovini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između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Srbije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Turske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izmeni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Sporazuma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slobodnoj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trgovini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između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Srbije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Turske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zamenom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Protokola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II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definiciji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pojma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proizvodi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poreklom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"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metodama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administrativne</w:t>
      </w:r>
      <w:r w:rsidR="00AE4FB4" w:rsidRPr="0051047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saradnje</w:t>
      </w:r>
      <w:r w:rsidR="001917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730F" w:rsidRDefault="00E1730F" w:rsidP="00E1730F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12)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45E87" w:rsidRDefault="00F45E87" w:rsidP="00E1730F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45E87" w:rsidRPr="00F45E87" w:rsidRDefault="00F45E87" w:rsidP="00F45E8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11,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glasao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CS"/>
        </w:rPr>
        <w:t>jedan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objedini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rasprava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tačkama</w:t>
      </w:r>
      <w:r w:rsidRPr="00541D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2, 3, 4.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541D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5.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utvrđenog</w:t>
      </w:r>
      <w:r w:rsidRPr="00541D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Pr="00541D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Pr="00541D1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917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izjasni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svakoj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tački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pojedinačno</w:t>
      </w:r>
      <w:r w:rsidRPr="00F45E8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104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B3C34" w:rsidRPr="00300758" w:rsidRDefault="00DB3C34" w:rsidP="00DB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44844" w:rsidRDefault="00B50FC3" w:rsidP="00AE4FB4">
      <w:pPr>
        <w:tabs>
          <w:tab w:val="left" w:pos="2364"/>
        </w:tabs>
        <w:spacing w:after="0" w:line="240" w:lineRule="auto"/>
        <w:contextualSpacing/>
        <w:jc w:val="both"/>
        <w:rPr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Prva</w:t>
      </w:r>
      <w:r w:rsidR="00DB3C34" w:rsidRPr="001917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tačka</w:t>
      </w:r>
      <w:r w:rsidR="00DB3C34" w:rsidRPr="00191793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D528A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Predlog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zakona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potvrđivanju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Sporazuma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između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Srbije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jedne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strane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Evropske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unije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druge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strane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učešću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Srbije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Programu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jedinstvenog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tržišta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Evropske</w:t>
      </w:r>
      <w:r w:rsidR="00191793"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unije</w:t>
      </w:r>
    </w:p>
    <w:p w:rsidR="00744844" w:rsidRDefault="00744844" w:rsidP="00985058">
      <w:pPr>
        <w:pStyle w:val="Bodytext20"/>
        <w:shd w:val="clear" w:color="auto" w:fill="auto"/>
        <w:jc w:val="both"/>
        <w:rPr>
          <w:b/>
          <w:sz w:val="24"/>
          <w:szCs w:val="24"/>
          <w:lang w:val="sr-Cyrl-CS"/>
        </w:rPr>
      </w:pPr>
    </w:p>
    <w:p w:rsidR="004529EC" w:rsidRDefault="004529EC" w:rsidP="004529E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Pr="003007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Zelić</w:t>
      </w:r>
      <w:r w:rsidRPr="003007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izneo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minstar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Siniša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julu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privremenu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tačkom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1)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doprinosi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specifičnom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jačanja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preduzetništva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stubova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nalaze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56C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B5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Singl</w:t>
      </w:r>
      <w:r w:rsidRPr="00C56C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market</w:t>
      </w:r>
      <w:r w:rsidRPr="00C56C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jedinstvenog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Izabran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stub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konkurentnost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sklopu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nastavka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mreže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preduzetništva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mreža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C56C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2008.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B682A">
        <w:rPr>
          <w:rFonts w:ascii="Times New Roman" w:eastAsia="Times New Roman" w:hAnsi="Times New Roman" w:cs="Times New Roman"/>
          <w:sz w:val="24"/>
          <w:szCs w:val="24"/>
          <w:lang w:val="sr-Latn-RS"/>
        </w:rPr>
        <w:t>COSMO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Pr="00CB68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2020.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definisano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koriste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jedinstvenog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istim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uslovima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objavljivanja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glasniku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“.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mreža</w:t>
      </w:r>
      <w:r w:rsidRPr="00C56C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podržala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hiljada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nastavak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nefinansijske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mrežu</w:t>
      </w:r>
      <w:r w:rsidRPr="00B053B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Nefinansijska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sastoji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savetodavnih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usluga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odlazaka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2CE8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B52CE8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be to be</w:t>
      </w:r>
      <w:r w:rsidR="00B52CE8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treninge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obuke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mreža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konzorcijum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realizuje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komora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Mihajlo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Pupin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inovacioni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centri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Mašinskog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fakulteta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partenri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2008.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529EC" w:rsidRDefault="004529EC" w:rsidP="004529EC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diskusiji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0FC3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izneli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mišnjenja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0FC3">
        <w:rPr>
          <w:rFonts w:ascii="Times New Roman" w:hAnsi="Times New Roman" w:cs="Times New Roman"/>
          <w:sz w:val="24"/>
          <w:szCs w:val="24"/>
        </w:rPr>
        <w:t>stavove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postavili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</w:rPr>
        <w:t>pitanja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9EC" w:rsidRDefault="004529EC" w:rsidP="004529EC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4529EC" w:rsidRDefault="004529EC" w:rsidP="004529EC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robe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uvoze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Srbiju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Sporazumu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oslobođene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PDV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fiskalnih</w:t>
      </w:r>
      <w:r w:rsidRPr="00A554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dažbina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529EC" w:rsidRDefault="004529EC" w:rsidP="004529EC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sankcija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Naftnoj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poskupljenja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nestašica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ugroziti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podići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uticati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inflaciju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529EC" w:rsidRDefault="004529EC" w:rsidP="004529E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navod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fizičkih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tužilaštvo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sudovi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529EC" w:rsidRDefault="004529EC" w:rsidP="004529E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podržati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potpisivanje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koristi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svaku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ukaže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Dosadašnja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prioritet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uslove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pokazuje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statistika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Opredeljenje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subvencije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nehumanim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uslovima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zapošljavaju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radnike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uplaćuju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dužni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plate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povuku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subvencija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uticalo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položaj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preduzetnika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poslednjim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videti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kreiraju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70%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dodate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56%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46%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ukupnom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izvozu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poreskih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kredita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olakšica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subvencija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uradi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stvari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efekat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529EC" w:rsidRDefault="004529EC" w:rsidP="004529E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firme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isprate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minimalne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zarade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puta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nekoliko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meseci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Izneta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bojazan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uskoro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sankcije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goriva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meseca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zaista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krene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nestašica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potrošiti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deset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529EC" w:rsidRDefault="004529EC" w:rsidP="004529E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negativna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iskustva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kompanijama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koristile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subvencije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povukle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prestanku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isplata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4529EC" w:rsidRDefault="004529EC" w:rsidP="004529E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izneta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objasnili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Aneks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dobro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standardna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priznata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omogućavaju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reviziju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pregleda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domaćih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dokumentaciji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PDV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pravilima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pravilima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donacije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fondovi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oslobođeni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plaćanja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carina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PDV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Suština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praktično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tretman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donacije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donatori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kontrolišu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troše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Često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raspisuje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tender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donatori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nadzora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slično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projekti</w:t>
      </w:r>
      <w:r w:rsidRPr="005F5E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realizuju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fondova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oslobođeni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PDV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Procedura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prijavljuju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portalu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poreske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oslobađaju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PDV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529EC" w:rsidRDefault="004529EC" w:rsidP="004529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predstojeće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ocenio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isključuje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jednu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momentu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ponudu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američke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kupi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američka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nafta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smanji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deficit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trgovinskoj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razmeni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američkim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statističkim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iznosi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36%.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raditi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vlasničke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strukture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neče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razgovarati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vlasničkoj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strukturi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iscrpe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desi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kupovati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američka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nafta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gorivo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skuplje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Rešavaće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plaćanja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goriva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karticom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Poštanske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štedionice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trenutku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bojazan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vrlo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verovatno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desiti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stupe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snagu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američke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sankcije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momenta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plaćanja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goriva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pumpama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kartica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plati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gotovini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prvih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šest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meseci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strahujemo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nestašica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Najveći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reinvestirao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vodi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strana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izvesnog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cenovnih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udara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kupovine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rešeno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dobar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Srbijagasa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količinama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poskupljenja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stanovništvo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plati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onoliko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najveći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iscrpljen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razgovarati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momentu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impulsa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B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parametri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fazi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ozbiljno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ulagati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računu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476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devizne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rezrve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zlatu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povećavaju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cenovnog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udara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Inflacija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zaustavljena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svega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trgovinskim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lancima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daljeg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glavni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generator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inflacije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Bazna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stopa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inflacije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dalje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viša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koridoru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vlasti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održi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transformiše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završetka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EKSPO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legitimnoj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atmosferi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pozicija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opozicija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najveći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neprijatelj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dodatna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nestabilnost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EKSPO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završi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završetka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EKSPO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nemamo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uslove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povećavaju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znaju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pročitaju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bilanse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krediti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završni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bilansi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tačno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videti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Ciljna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inflacija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postigne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rast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nekoliko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taji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nismo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crvenoj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zoni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529EC" w:rsidRDefault="004529EC" w:rsidP="004529E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286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2867C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Zelić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529EC" w:rsidRDefault="004529EC" w:rsidP="00452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B82960" w:rsidRPr="00917569" w:rsidRDefault="00B82960" w:rsidP="00B82960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82960" w:rsidRPr="00917569" w:rsidRDefault="00B50FC3" w:rsidP="00B82960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82960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82960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82960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B82960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B82960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B82960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82960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B82960" w:rsidRPr="00B82960" w:rsidRDefault="00B82960" w:rsidP="00B82960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155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Predlog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zakona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potvrđivanju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Sporazuma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između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Srbije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jedne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strane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Evropske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unije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druge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strane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učešću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Srbije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Programu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jedinstvenog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tržišta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Evropske</w:t>
      </w:r>
      <w:r w:rsidRPr="0019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</w:rPr>
        <w:t>unije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B82960" w:rsidRPr="00917569" w:rsidRDefault="00B82960" w:rsidP="00B8296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82960" w:rsidRPr="00917569" w:rsidRDefault="00B82960" w:rsidP="00B82960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82960" w:rsidRPr="00917569" w:rsidRDefault="00B82960" w:rsidP="00B82960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</w:p>
    <w:p w:rsidR="00191793" w:rsidRDefault="00191793" w:rsidP="00985058">
      <w:pPr>
        <w:pStyle w:val="Bodytext20"/>
        <w:shd w:val="clear" w:color="auto" w:fill="auto"/>
        <w:jc w:val="both"/>
        <w:rPr>
          <w:b/>
          <w:sz w:val="24"/>
          <w:szCs w:val="24"/>
          <w:lang w:val="sr-Cyrl-CS"/>
        </w:rPr>
      </w:pPr>
    </w:p>
    <w:p w:rsidR="00191793" w:rsidRDefault="00191793" w:rsidP="00985058">
      <w:pPr>
        <w:pStyle w:val="Bodytext20"/>
        <w:shd w:val="clear" w:color="auto" w:fill="auto"/>
        <w:jc w:val="both"/>
        <w:rPr>
          <w:b/>
          <w:sz w:val="24"/>
          <w:szCs w:val="24"/>
          <w:lang w:val="sr-Cyrl-CS"/>
        </w:rPr>
      </w:pPr>
    </w:p>
    <w:p w:rsidR="00191793" w:rsidRPr="00B82960" w:rsidRDefault="00B50FC3" w:rsidP="00191793">
      <w:pPr>
        <w:tabs>
          <w:tab w:val="left" w:pos="2364"/>
        </w:tabs>
        <w:spacing w:after="0" w:line="240" w:lineRule="auto"/>
        <w:contextualSpacing/>
        <w:jc w:val="both"/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Druga</w:t>
      </w:r>
      <w:r w:rsidR="00191793" w:rsidRPr="00B829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 w:rsidR="00191793" w:rsidRPr="00B829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</w:t>
      </w:r>
      <w:r w:rsidR="00191793" w:rsidRPr="00B829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1793" w:rsidRPr="00B829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</w:t>
      </w:r>
      <w:r w:rsidR="00541D13" w:rsidRPr="00B829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752E79" w:rsidRPr="00B8296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9E75B3" w:rsidRPr="00B829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Burundija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ekonomskoj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saradnji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; 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Predlog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zakona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potvrđivanju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Sporazuma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između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Vlade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Srbije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Vlade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Maldiva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trgovinskoj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investicionoj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ekonomskoj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saradnji</w:t>
      </w:r>
      <w:r w:rsid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;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zakona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potvrđivanju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Sporazuma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između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Vlade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Srbije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Vlade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Ekvatorijalne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Gvineje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ekonomskoj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trgovinskoj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saradnji</w:t>
      </w:r>
      <w:r w:rsidR="00191793"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Predlog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potvrđivanju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Odluke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broj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1/2024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Zajedničkog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komiteta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ustanovljenog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Sporazumom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slobodnoj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trgovini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između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Republike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Srbije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Republike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Turske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izmeni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Sporazuma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slobodnoj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trgovini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između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Republike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Srbije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Republike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Turske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zamenom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Protokola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II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definiciji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pojma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„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proizvodi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sa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poreklom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"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metodama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administrativne</w:t>
      </w:r>
      <w:r w:rsidR="00191793" w:rsidRPr="00B82960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saradnje</w:t>
      </w:r>
    </w:p>
    <w:p w:rsidR="00510470" w:rsidRPr="00B82960" w:rsidRDefault="00510470" w:rsidP="008943D1">
      <w:pPr>
        <w:pStyle w:val="Bodytext20"/>
        <w:shd w:val="clear" w:color="auto" w:fill="auto"/>
        <w:jc w:val="both"/>
        <w:rPr>
          <w:sz w:val="24"/>
          <w:szCs w:val="24"/>
          <w:lang w:val="sr-Cyrl-CS"/>
        </w:rPr>
      </w:pPr>
    </w:p>
    <w:p w:rsidR="00191793" w:rsidRDefault="00191793" w:rsidP="008943D1">
      <w:pPr>
        <w:pStyle w:val="Bodytext20"/>
        <w:shd w:val="clear" w:color="auto" w:fill="auto"/>
        <w:jc w:val="both"/>
        <w:rPr>
          <w:b/>
          <w:sz w:val="24"/>
          <w:szCs w:val="24"/>
          <w:lang w:val="sr-Cyrl-CS"/>
        </w:rPr>
      </w:pPr>
    </w:p>
    <w:p w:rsidR="00191793" w:rsidRDefault="00191793" w:rsidP="008943D1">
      <w:pPr>
        <w:pStyle w:val="Bodytext20"/>
        <w:shd w:val="clear" w:color="auto" w:fill="auto"/>
        <w:jc w:val="both"/>
        <w:rPr>
          <w:sz w:val="24"/>
          <w:szCs w:val="24"/>
          <w:lang w:val="sr-Cyrl-RS"/>
        </w:rPr>
      </w:pPr>
    </w:p>
    <w:p w:rsidR="00917569" w:rsidRPr="00917569" w:rsidRDefault="00510470" w:rsidP="0091756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17569" w:rsidRPr="00917569">
        <w:rPr>
          <w:sz w:val="24"/>
          <w:szCs w:val="24"/>
          <w:lang w:val="sr-Cyrl-RS"/>
        </w:rPr>
        <w:t xml:space="preserve">           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Mojsejev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pomoćnika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unutrašnje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spoljne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trgovine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sporazumi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Burundijem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Maldivima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Ekvatorijalnom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Gvinejom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krovni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sporazumi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sada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nismo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imali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regulativu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tiče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ovim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hAnsi="Times New Roman" w:cs="Times New Roman"/>
          <w:sz w:val="24"/>
          <w:szCs w:val="24"/>
          <w:lang w:val="sr-Cyrl-CS"/>
        </w:rPr>
        <w:t>državama</w:t>
      </w:r>
      <w:r w:rsidRPr="0091756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17569" w:rsidRPr="00917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sporazumima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osnivanje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međuvladinih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Turskom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reguliše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usklađivanje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Protokolom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potpisano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novembru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prošle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17569" w:rsidRDefault="00917569" w:rsidP="00917569">
      <w:pPr>
        <w:pStyle w:val="Bodytext20"/>
        <w:shd w:val="clear" w:color="auto" w:fill="auto"/>
        <w:jc w:val="both"/>
        <w:rPr>
          <w:sz w:val="24"/>
          <w:szCs w:val="24"/>
          <w:lang w:val="sr-Cyrl-CS"/>
        </w:rPr>
      </w:pPr>
    </w:p>
    <w:p w:rsidR="00917569" w:rsidRPr="00917569" w:rsidRDefault="00917569" w:rsidP="00917569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7569" w:rsidRPr="00917569" w:rsidRDefault="00917569" w:rsidP="00B82960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17569">
        <w:rPr>
          <w:rFonts w:ascii="Times New Roman" w:eastAsia="Times New Roman" w:hAnsi="Times New Roman" w:cs="Times New Roman"/>
          <w:sz w:val="24"/>
          <w:szCs w:val="24"/>
        </w:rPr>
        <w:tab/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917569" w:rsidRPr="00917569" w:rsidRDefault="00B50FC3" w:rsidP="00917569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917569"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917569" w:rsidRPr="00B82960" w:rsidRDefault="00917569" w:rsidP="00917569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155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redlog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zakona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potvrđivanju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porazuma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između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Republike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Srbije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Burundija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ekonomskoj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saradnji</w:t>
      </w:r>
      <w:r w:rsidRPr="00B829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917569" w:rsidRPr="00917569" w:rsidRDefault="00917569" w:rsidP="0091756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17569" w:rsidRPr="00917569" w:rsidRDefault="00917569" w:rsidP="00917569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17569" w:rsidRPr="00917569" w:rsidRDefault="00917569" w:rsidP="00917569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</w:p>
    <w:p w:rsidR="00917569" w:rsidRPr="00917569" w:rsidRDefault="00917569" w:rsidP="0091756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2862CA" w:rsidRDefault="002862CA" w:rsidP="00917569">
      <w:pPr>
        <w:tabs>
          <w:tab w:val="left" w:pos="1418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82960" w:rsidRDefault="00917569" w:rsidP="00B82960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`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82960" w:rsidRDefault="00B50FC3" w:rsidP="00B82960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917569" w:rsidRPr="00917569" w:rsidRDefault="00917569" w:rsidP="00917569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155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redlog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potvrđivanju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porazuma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između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Republike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Srbije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Maldiva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trgovinskoj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investicionoj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82960" w:rsidRDefault="00B82960" w:rsidP="00B8296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82960" w:rsidRDefault="00B82960" w:rsidP="00B82960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17569" w:rsidRPr="00917569" w:rsidRDefault="00B82960" w:rsidP="00B8296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</w:p>
    <w:p w:rsidR="00917569" w:rsidRPr="00917569" w:rsidRDefault="00917569" w:rsidP="00917569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82960" w:rsidRDefault="00917569" w:rsidP="00B82960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17569">
        <w:rPr>
          <w:rFonts w:ascii="Times New Roman" w:eastAsia="Times New Roman" w:hAnsi="Times New Roman" w:cs="Times New Roman"/>
          <w:sz w:val="24"/>
          <w:szCs w:val="24"/>
        </w:rPr>
        <w:tab/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82960" w:rsidRDefault="00B50FC3" w:rsidP="00B82960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917569" w:rsidRPr="00917569" w:rsidRDefault="00917569" w:rsidP="00B82960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155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redlog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potvrđivanju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porazuma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između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Republike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Latn-RS"/>
        </w:rPr>
        <w:t>Srbije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Ekvatorijalne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Gvineje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trgovinskoj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 w:rsidRPr="0091756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82960" w:rsidRDefault="00B82960" w:rsidP="00B8296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82960" w:rsidRDefault="00B82960" w:rsidP="00B82960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E73EE" w:rsidRPr="00917569" w:rsidRDefault="00B82960" w:rsidP="00B82960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</w:p>
    <w:p w:rsidR="00917569" w:rsidRPr="00917569" w:rsidRDefault="00917569" w:rsidP="0091756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B82960" w:rsidRDefault="003E73EE" w:rsidP="00B82960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82960" w:rsidRDefault="00B50FC3" w:rsidP="00B82960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82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3E73EE" w:rsidRPr="003E73EE" w:rsidRDefault="003E73EE" w:rsidP="00B82960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>155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1/2024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Zajedničkog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ustanovljenog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Sporazumom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Turske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izmeni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Turske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zamenom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Protokola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II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definiciji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pojma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poreklom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metodama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administrativne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Pr="003E73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82960" w:rsidRDefault="00B82960" w:rsidP="00B8296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82960" w:rsidRDefault="00B82960" w:rsidP="00B82960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82960" w:rsidRDefault="00B82960" w:rsidP="00B82960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            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B82960" w:rsidRDefault="00B82960" w:rsidP="00B82960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B3C34" w:rsidRPr="002D63E1" w:rsidRDefault="00B50FC3" w:rsidP="00B82960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Sednica</w:t>
      </w:r>
      <w:r w:rsidR="00DB3C34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B3C34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zaključena</w:t>
      </w:r>
      <w:r w:rsidR="00DB3C34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DB3C34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</w:t>
      </w:r>
      <w:r w:rsidR="00DE01A9">
        <w:rPr>
          <w:rFonts w:ascii="Times New Roman" w:eastAsia="Calibri" w:hAnsi="Times New Roman" w:cs="Times New Roman"/>
          <w:sz w:val="24"/>
          <w:szCs w:val="24"/>
          <w:lang w:val="sr-Cyrl-RS"/>
        </w:rPr>
        <w:t>3,07</w:t>
      </w:r>
      <w:r w:rsidR="00DB3C34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="00DB3C34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B3C34" w:rsidRPr="002D63E1" w:rsidRDefault="00DB3C34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prenošena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live stream-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snimana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video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zapis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internet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stranici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DB3C34" w:rsidRPr="002D63E1" w:rsidRDefault="00DB3C34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B3C34" w:rsidRPr="002D63E1" w:rsidRDefault="00DB3C34" w:rsidP="00DB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DB3C34" w:rsidRDefault="00DB3C34" w:rsidP="00DB3C34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DB3C34" w:rsidRPr="002D63E1" w:rsidRDefault="00DB3C34" w:rsidP="00DB3C34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43E8F" w:rsidRDefault="00DB3C34" w:rsidP="00DB3C34"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Aleksandra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Balać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                                                        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Dušan</w:t>
      </w:r>
      <w:r w:rsidR="004E7E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0FC3">
        <w:rPr>
          <w:rFonts w:ascii="Times New Roman" w:eastAsia="Calibri" w:hAnsi="Times New Roman" w:cs="Times New Roman"/>
          <w:sz w:val="24"/>
          <w:szCs w:val="24"/>
          <w:lang w:val="sr-Cyrl-RS"/>
        </w:rPr>
        <w:t>Bajatović</w:t>
      </w:r>
    </w:p>
    <w:sectPr w:rsidR="00543E8F" w:rsidSect="00256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275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FF" w:rsidRDefault="00E517FF" w:rsidP="00D12AB7">
      <w:pPr>
        <w:spacing w:after="0" w:line="240" w:lineRule="auto"/>
      </w:pPr>
      <w:r>
        <w:separator/>
      </w:r>
    </w:p>
  </w:endnote>
  <w:endnote w:type="continuationSeparator" w:id="0">
    <w:p w:rsidR="00E517FF" w:rsidRDefault="00E517FF" w:rsidP="00D1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C3" w:rsidRDefault="00B5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C3" w:rsidRDefault="00B5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C3" w:rsidRDefault="00B5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FF" w:rsidRDefault="00E517FF" w:rsidP="00D12AB7">
      <w:pPr>
        <w:spacing w:after="0" w:line="240" w:lineRule="auto"/>
      </w:pPr>
      <w:r>
        <w:separator/>
      </w:r>
    </w:p>
  </w:footnote>
  <w:footnote w:type="continuationSeparator" w:id="0">
    <w:p w:rsidR="00E517FF" w:rsidRDefault="00E517FF" w:rsidP="00D1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C3" w:rsidRDefault="00B5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3566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2AB7" w:rsidRDefault="00D12A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FC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12AB7" w:rsidRDefault="00D12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C3" w:rsidRDefault="00B5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3710"/>
    <w:multiLevelType w:val="hybridMultilevel"/>
    <w:tmpl w:val="1554A76E"/>
    <w:lvl w:ilvl="0" w:tplc="E50EF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0796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77812"/>
    <w:multiLevelType w:val="hybridMultilevel"/>
    <w:tmpl w:val="201A0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34"/>
    <w:rsid w:val="000417E5"/>
    <w:rsid w:val="000445BC"/>
    <w:rsid w:val="000453A2"/>
    <w:rsid w:val="00053B2C"/>
    <w:rsid w:val="00065D62"/>
    <w:rsid w:val="00073609"/>
    <w:rsid w:val="00081533"/>
    <w:rsid w:val="00095055"/>
    <w:rsid w:val="0009689D"/>
    <w:rsid w:val="00096978"/>
    <w:rsid w:val="000C4EF5"/>
    <w:rsid w:val="000E4FD9"/>
    <w:rsid w:val="00117EC5"/>
    <w:rsid w:val="00125ADA"/>
    <w:rsid w:val="001306FC"/>
    <w:rsid w:val="0014170C"/>
    <w:rsid w:val="00153882"/>
    <w:rsid w:val="00181BAA"/>
    <w:rsid w:val="00191793"/>
    <w:rsid w:val="00191FA6"/>
    <w:rsid w:val="00196041"/>
    <w:rsid w:val="001D25A2"/>
    <w:rsid w:val="001D6B2A"/>
    <w:rsid w:val="001E5A7D"/>
    <w:rsid w:val="001E7A39"/>
    <w:rsid w:val="001F0D41"/>
    <w:rsid w:val="002259DB"/>
    <w:rsid w:val="0023715C"/>
    <w:rsid w:val="00241709"/>
    <w:rsid w:val="00243DFD"/>
    <w:rsid w:val="00245035"/>
    <w:rsid w:val="002546D6"/>
    <w:rsid w:val="00256ED7"/>
    <w:rsid w:val="00270EE4"/>
    <w:rsid w:val="00277EFC"/>
    <w:rsid w:val="00282BB5"/>
    <w:rsid w:val="002862CA"/>
    <w:rsid w:val="002869DC"/>
    <w:rsid w:val="002A66E4"/>
    <w:rsid w:val="002A7D88"/>
    <w:rsid w:val="002B7336"/>
    <w:rsid w:val="002D010C"/>
    <w:rsid w:val="002D2E5A"/>
    <w:rsid w:val="002D40BE"/>
    <w:rsid w:val="002F14E1"/>
    <w:rsid w:val="002F7934"/>
    <w:rsid w:val="0030621A"/>
    <w:rsid w:val="00306EF5"/>
    <w:rsid w:val="00327378"/>
    <w:rsid w:val="003420BB"/>
    <w:rsid w:val="00347D50"/>
    <w:rsid w:val="003501F0"/>
    <w:rsid w:val="00365474"/>
    <w:rsid w:val="0036649D"/>
    <w:rsid w:val="003806DB"/>
    <w:rsid w:val="00383674"/>
    <w:rsid w:val="00391FAA"/>
    <w:rsid w:val="00396D4F"/>
    <w:rsid w:val="003B0EA3"/>
    <w:rsid w:val="003C264D"/>
    <w:rsid w:val="003C2E28"/>
    <w:rsid w:val="003C4223"/>
    <w:rsid w:val="003D73B1"/>
    <w:rsid w:val="003E73EE"/>
    <w:rsid w:val="00437325"/>
    <w:rsid w:val="004529EC"/>
    <w:rsid w:val="00462495"/>
    <w:rsid w:val="004B546E"/>
    <w:rsid w:val="004E7E4B"/>
    <w:rsid w:val="00510470"/>
    <w:rsid w:val="00541D13"/>
    <w:rsid w:val="00543E8F"/>
    <w:rsid w:val="00555748"/>
    <w:rsid w:val="005815CD"/>
    <w:rsid w:val="005963D5"/>
    <w:rsid w:val="005D0822"/>
    <w:rsid w:val="005D14B7"/>
    <w:rsid w:val="005D2C46"/>
    <w:rsid w:val="005E4384"/>
    <w:rsid w:val="005F092D"/>
    <w:rsid w:val="005F7D8A"/>
    <w:rsid w:val="00631528"/>
    <w:rsid w:val="00640971"/>
    <w:rsid w:val="00650E20"/>
    <w:rsid w:val="006510C1"/>
    <w:rsid w:val="006546BA"/>
    <w:rsid w:val="00664074"/>
    <w:rsid w:val="0068169D"/>
    <w:rsid w:val="006A53BC"/>
    <w:rsid w:val="006B22E7"/>
    <w:rsid w:val="006C5941"/>
    <w:rsid w:val="006E0348"/>
    <w:rsid w:val="006F2CC4"/>
    <w:rsid w:val="00704BCA"/>
    <w:rsid w:val="00717728"/>
    <w:rsid w:val="00732644"/>
    <w:rsid w:val="0073790E"/>
    <w:rsid w:val="007435EB"/>
    <w:rsid w:val="00744844"/>
    <w:rsid w:val="00752E79"/>
    <w:rsid w:val="00755941"/>
    <w:rsid w:val="0076562F"/>
    <w:rsid w:val="00776A7F"/>
    <w:rsid w:val="007844A6"/>
    <w:rsid w:val="007B0FC1"/>
    <w:rsid w:val="007B2477"/>
    <w:rsid w:val="007B75E9"/>
    <w:rsid w:val="007C151D"/>
    <w:rsid w:val="007C43B4"/>
    <w:rsid w:val="007C6336"/>
    <w:rsid w:val="007F65E2"/>
    <w:rsid w:val="007F715C"/>
    <w:rsid w:val="0082539B"/>
    <w:rsid w:val="008437F9"/>
    <w:rsid w:val="00855677"/>
    <w:rsid w:val="008641C1"/>
    <w:rsid w:val="008943D1"/>
    <w:rsid w:val="008D481F"/>
    <w:rsid w:val="00902657"/>
    <w:rsid w:val="00906782"/>
    <w:rsid w:val="009101FE"/>
    <w:rsid w:val="00917569"/>
    <w:rsid w:val="009219A9"/>
    <w:rsid w:val="009248CF"/>
    <w:rsid w:val="00926743"/>
    <w:rsid w:val="00934C4D"/>
    <w:rsid w:val="00942D5F"/>
    <w:rsid w:val="00946051"/>
    <w:rsid w:val="009627E9"/>
    <w:rsid w:val="00985058"/>
    <w:rsid w:val="009A41D1"/>
    <w:rsid w:val="009A4B83"/>
    <w:rsid w:val="009B0FAA"/>
    <w:rsid w:val="009D395B"/>
    <w:rsid w:val="009D6618"/>
    <w:rsid w:val="009E2578"/>
    <w:rsid w:val="009E75B3"/>
    <w:rsid w:val="00A0589E"/>
    <w:rsid w:val="00A21BD3"/>
    <w:rsid w:val="00A224E0"/>
    <w:rsid w:val="00A27718"/>
    <w:rsid w:val="00A477C4"/>
    <w:rsid w:val="00A727A9"/>
    <w:rsid w:val="00A83A18"/>
    <w:rsid w:val="00A95F89"/>
    <w:rsid w:val="00AD7DE9"/>
    <w:rsid w:val="00AE0DB2"/>
    <w:rsid w:val="00AE35D8"/>
    <w:rsid w:val="00AE4FB4"/>
    <w:rsid w:val="00AF22C2"/>
    <w:rsid w:val="00B07075"/>
    <w:rsid w:val="00B151F2"/>
    <w:rsid w:val="00B241D8"/>
    <w:rsid w:val="00B33893"/>
    <w:rsid w:val="00B3653A"/>
    <w:rsid w:val="00B50FC3"/>
    <w:rsid w:val="00B52CE8"/>
    <w:rsid w:val="00B82960"/>
    <w:rsid w:val="00BA05D3"/>
    <w:rsid w:val="00BB75F5"/>
    <w:rsid w:val="00BD72E3"/>
    <w:rsid w:val="00C00967"/>
    <w:rsid w:val="00C447AF"/>
    <w:rsid w:val="00C61FCF"/>
    <w:rsid w:val="00C64B23"/>
    <w:rsid w:val="00C67A96"/>
    <w:rsid w:val="00C73F88"/>
    <w:rsid w:val="00C85E8B"/>
    <w:rsid w:val="00C87019"/>
    <w:rsid w:val="00C94607"/>
    <w:rsid w:val="00CA3B39"/>
    <w:rsid w:val="00CA6CFD"/>
    <w:rsid w:val="00D10700"/>
    <w:rsid w:val="00D123A3"/>
    <w:rsid w:val="00D12AB7"/>
    <w:rsid w:val="00D21515"/>
    <w:rsid w:val="00D33877"/>
    <w:rsid w:val="00D528A3"/>
    <w:rsid w:val="00D5633A"/>
    <w:rsid w:val="00D63447"/>
    <w:rsid w:val="00D86E91"/>
    <w:rsid w:val="00D93774"/>
    <w:rsid w:val="00DA3887"/>
    <w:rsid w:val="00DB3BFC"/>
    <w:rsid w:val="00DB3C34"/>
    <w:rsid w:val="00DB452D"/>
    <w:rsid w:val="00DE01A9"/>
    <w:rsid w:val="00DE7F18"/>
    <w:rsid w:val="00DF23A9"/>
    <w:rsid w:val="00DF787F"/>
    <w:rsid w:val="00E05CC7"/>
    <w:rsid w:val="00E1730F"/>
    <w:rsid w:val="00E517FF"/>
    <w:rsid w:val="00E85B62"/>
    <w:rsid w:val="00E94467"/>
    <w:rsid w:val="00EA0109"/>
    <w:rsid w:val="00EC0CE7"/>
    <w:rsid w:val="00EC6CC7"/>
    <w:rsid w:val="00EE38EA"/>
    <w:rsid w:val="00EE3A11"/>
    <w:rsid w:val="00EE4320"/>
    <w:rsid w:val="00F3057D"/>
    <w:rsid w:val="00F34476"/>
    <w:rsid w:val="00F4196D"/>
    <w:rsid w:val="00F44E9F"/>
    <w:rsid w:val="00F45E87"/>
    <w:rsid w:val="00F54BD5"/>
    <w:rsid w:val="00F70D25"/>
    <w:rsid w:val="00F97A91"/>
    <w:rsid w:val="00FB1751"/>
    <w:rsid w:val="00FB59A7"/>
    <w:rsid w:val="00FC0B41"/>
    <w:rsid w:val="00FC1FDF"/>
    <w:rsid w:val="00FD2324"/>
    <w:rsid w:val="00FE0DB5"/>
    <w:rsid w:val="00FE17BB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8A465-41AF-430C-87E7-FFF67D8F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388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3887"/>
    <w:rPr>
      <w:rFonts w:ascii="Calibri" w:eastAsia="Calibri" w:hAnsi="Calibri" w:cs="Times New Roman"/>
      <w:szCs w:val="21"/>
    </w:rPr>
  </w:style>
  <w:style w:type="character" w:customStyle="1" w:styleId="Bodytext2">
    <w:name w:val="Body text (2)_"/>
    <w:basedOn w:val="DefaultParagraphFont"/>
    <w:link w:val="Bodytext20"/>
    <w:rsid w:val="008556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5567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AB7"/>
  </w:style>
  <w:style w:type="paragraph" w:styleId="Footer">
    <w:name w:val="footer"/>
    <w:basedOn w:val="Normal"/>
    <w:link w:val="FooterChar"/>
    <w:uiPriority w:val="99"/>
    <w:unhideWhenUsed/>
    <w:rsid w:val="00D1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AB7"/>
  </w:style>
  <w:style w:type="character" w:customStyle="1" w:styleId="colornavy">
    <w:name w:val="color_navy"/>
    <w:rsid w:val="00FB1751"/>
  </w:style>
  <w:style w:type="paragraph" w:styleId="BodyText">
    <w:name w:val="Body Text"/>
    <w:basedOn w:val="Normal"/>
    <w:link w:val="BodyTextChar"/>
    <w:uiPriority w:val="99"/>
    <w:unhideWhenUsed/>
    <w:rsid w:val="00FB175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B17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8</cp:revision>
  <dcterms:created xsi:type="dcterms:W3CDTF">2025-10-08T10:20:00Z</dcterms:created>
  <dcterms:modified xsi:type="dcterms:W3CDTF">2025-11-14T13:43:00Z</dcterms:modified>
</cp:coreProperties>
</file>